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C9" w:rsidRPr="00AE4340" w:rsidRDefault="000F5BA5" w:rsidP="00F513EC">
      <w:pPr>
        <w:spacing w:beforeLines="20" w:afterLines="20" w:line="300" w:lineRule="atLeast"/>
        <w:ind w:firstLine="284"/>
        <w:jc w:val="center"/>
        <w:rPr>
          <w:rFonts w:ascii="Arial" w:eastAsia="Times New Roman" w:hAnsi="Arial" w:cs="Arial"/>
          <w:sz w:val="26"/>
          <w:szCs w:val="26"/>
          <w:lang w:eastAsia="it-IT"/>
        </w:rPr>
      </w:pPr>
      <w:r w:rsidRPr="00AE4340">
        <w:rPr>
          <w:rFonts w:ascii="Arial" w:eastAsia="Times New Roman" w:hAnsi="Arial" w:cs="Arial"/>
          <w:b/>
          <w:sz w:val="26"/>
          <w:szCs w:val="26"/>
          <w:lang w:eastAsia="it-IT"/>
        </w:rPr>
        <w:t xml:space="preserve">Giurisprudenza </w:t>
      </w:r>
      <w:proofErr w:type="gramStart"/>
      <w:r w:rsidRPr="00AE4340">
        <w:rPr>
          <w:rFonts w:ascii="Arial" w:eastAsia="Times New Roman" w:hAnsi="Arial" w:cs="Arial"/>
          <w:b/>
          <w:sz w:val="26"/>
          <w:szCs w:val="26"/>
          <w:lang w:eastAsia="it-IT"/>
        </w:rPr>
        <w:t>relativa al</w:t>
      </w:r>
      <w:proofErr w:type="gramEnd"/>
      <w:r w:rsidRPr="00AE4340">
        <w:rPr>
          <w:rFonts w:ascii="Arial" w:eastAsia="Times New Roman" w:hAnsi="Arial" w:cs="Arial"/>
          <w:b/>
          <w:sz w:val="26"/>
          <w:szCs w:val="26"/>
          <w:lang w:eastAsia="it-IT"/>
        </w:rPr>
        <w:t xml:space="preserve"> quadro giuridico sulla responsabilità professionale sanitaria dopo la legge Gelli-Bianco (L. </w:t>
      </w:r>
      <w:r w:rsidR="00AE4340">
        <w:rPr>
          <w:rFonts w:ascii="Arial" w:eastAsia="Times New Roman" w:hAnsi="Arial" w:cs="Arial"/>
          <w:b/>
          <w:sz w:val="26"/>
          <w:szCs w:val="26"/>
          <w:lang w:eastAsia="it-IT"/>
        </w:rPr>
        <w:t xml:space="preserve">8 marzo 2017 </w:t>
      </w:r>
      <w:r w:rsidRPr="00AE4340">
        <w:rPr>
          <w:rFonts w:ascii="Arial" w:eastAsia="Times New Roman" w:hAnsi="Arial" w:cs="Arial"/>
          <w:b/>
          <w:sz w:val="26"/>
          <w:szCs w:val="26"/>
          <w:lang w:eastAsia="it-IT"/>
        </w:rPr>
        <w:t>n. 24)</w:t>
      </w:r>
    </w:p>
    <w:p w:rsidR="000B6E1F" w:rsidRDefault="000B6E1F" w:rsidP="00F513EC">
      <w:pPr>
        <w:spacing w:beforeLines="20" w:afterLines="20" w:line="300" w:lineRule="atLeast"/>
        <w:ind w:firstLine="284"/>
        <w:jc w:val="both"/>
        <w:rPr>
          <w:rFonts w:ascii="Arial" w:eastAsia="Times New Roman" w:hAnsi="Arial" w:cs="Arial"/>
          <w:sz w:val="26"/>
          <w:szCs w:val="26"/>
          <w:lang w:eastAsia="it-IT"/>
        </w:rPr>
      </w:pPr>
    </w:p>
    <w:p w:rsidR="007B6DB8" w:rsidRPr="00AE4340" w:rsidRDefault="007B6DB8" w:rsidP="00F513EC">
      <w:pPr>
        <w:spacing w:beforeLines="20" w:afterLines="20" w:line="300" w:lineRule="atLeast"/>
        <w:ind w:firstLine="284"/>
        <w:jc w:val="both"/>
        <w:rPr>
          <w:rFonts w:ascii="Arial" w:eastAsia="Times New Roman" w:hAnsi="Arial" w:cs="Arial"/>
          <w:sz w:val="26"/>
          <w:szCs w:val="26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6347"/>
      </w:tblGrid>
      <w:tr w:rsidR="00F433B5" w:rsidTr="00F433B5">
        <w:tc>
          <w:tcPr>
            <w:tcW w:w="3259" w:type="dxa"/>
          </w:tcPr>
          <w:p w:rsidR="00F433B5" w:rsidRDefault="00F433B5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Sentenza</w:t>
            </w:r>
          </w:p>
        </w:tc>
        <w:tc>
          <w:tcPr>
            <w:tcW w:w="6347" w:type="dxa"/>
          </w:tcPr>
          <w:p w:rsidR="00F433B5" w:rsidRDefault="00F433B5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Sintesi del contenuto</w:t>
            </w:r>
          </w:p>
        </w:tc>
      </w:tr>
      <w:tr w:rsidR="005406B8" w:rsidTr="00F433B5">
        <w:tc>
          <w:tcPr>
            <w:tcW w:w="3259" w:type="dxa"/>
          </w:tcPr>
          <w:p w:rsidR="005406B8" w:rsidRDefault="005406B8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Quarta Sez. Penale della Corte di Cassazione, </w:t>
            </w:r>
            <w:hyperlink r:id="rId5" w:history="1">
              <w:r w:rsidRPr="005406B8">
                <w:rPr>
                  <w:rStyle w:val="Collegamentoipertestuale"/>
                  <w:rFonts w:ascii="Arial" w:eastAsia="Times New Roman" w:hAnsi="Arial" w:cs="Arial"/>
                  <w:sz w:val="26"/>
                  <w:szCs w:val="26"/>
                  <w:lang w:eastAsia="it-IT"/>
                </w:rPr>
                <w:t>Sent. n. 16140 del 16 marzo 2017</w:t>
              </w:r>
            </w:hyperlink>
          </w:p>
        </w:tc>
        <w:tc>
          <w:tcPr>
            <w:tcW w:w="6347" w:type="dxa"/>
          </w:tcPr>
          <w:p w:rsidR="005406B8" w:rsidRDefault="005406B8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La legge 24/2017, in vigore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dal 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1 aprile 2017, assume già rilievo nell’ambito del giudizio penale di rinvio.</w:t>
            </w:r>
          </w:p>
        </w:tc>
      </w:tr>
      <w:tr w:rsidR="005406B8" w:rsidTr="00FC55FA">
        <w:tc>
          <w:tcPr>
            <w:tcW w:w="3259" w:type="dxa"/>
          </w:tcPr>
          <w:p w:rsidR="005406B8" w:rsidRDefault="005406B8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Quarta Sez. Penale della Corte di Cassazione, </w:t>
            </w:r>
            <w:hyperlink r:id="rId6" w:anchor=".W04Xo2eXpcg" w:history="1">
              <w:r w:rsidRPr="009A1CC3">
                <w:rPr>
                  <w:rStyle w:val="Collegamentoipertestuale"/>
                  <w:rFonts w:ascii="Arial" w:eastAsia="Times New Roman" w:hAnsi="Arial" w:cs="Arial"/>
                  <w:sz w:val="26"/>
                  <w:szCs w:val="26"/>
                  <w:lang w:eastAsia="it-IT"/>
                </w:rPr>
                <w:t>Sent. n. 28187 del 7 giugno 2017</w:t>
              </w:r>
            </w:hyperlink>
          </w:p>
        </w:tc>
        <w:tc>
          <w:tcPr>
            <w:tcW w:w="6347" w:type="dxa"/>
          </w:tcPr>
          <w:p w:rsidR="005406B8" w:rsidRDefault="005406B8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La sentenza detta alcune linee interpretative in merito alla nuova fattispecie di cui all’art. 590-sexies del codice penale introdotta dall’articolo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6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della </w:t>
            </w:r>
            <w:r w:rsidR="003861DF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L. n. 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24/2017 con riferimento alla responsabilità colposa del medico che abbia osservato le linee guida accreditate, nel caso in cui </w:t>
            </w:r>
            <w:r w:rsidRPr="0091303B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l'evento si sia verificato a causa di imperizia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. In particolare, si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sottolinea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che la semplice osservanza delle linee guida non solleva in automatico il medico da eventuale colpa, in quanto le stesse linee guida devono potersi riferire al caso concreto.</w:t>
            </w:r>
            <w:r w:rsidR="00B24A9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Il principio è che il medico adotti un comportamento diligente per aumentare le possibilità di evitare il danno.</w:t>
            </w:r>
          </w:p>
          <w:p w:rsidR="005406B8" w:rsidRDefault="005406B8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Peraltro, la Corte afferma che per i fatti </w:t>
            </w:r>
            <w:r w:rsidRPr="009A1CC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anteriori può trovare ancora applicazione, ai sensi dell’art. 2 c.p., la disposizione di cui all’abrogato art. </w:t>
            </w:r>
            <w:proofErr w:type="gramStart"/>
            <w:r w:rsidRPr="009A1CC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3</w:t>
            </w:r>
            <w:proofErr w:type="gramEnd"/>
            <w:r w:rsidRPr="009A1CC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, comma 1, della legge n. 189 del 2012</w:t>
            </w:r>
            <w:r w:rsidR="00261EF9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,</w:t>
            </w:r>
            <w:r w:rsidRPr="009A1CC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che aveva escluso la rilevanza penale delle condotte lesive connotate da colpa lieve, nei contesti regolati da linee guida e buone pratiche accreditate dalla comunità scientifica.</w:t>
            </w:r>
          </w:p>
        </w:tc>
      </w:tr>
      <w:tr w:rsidR="00B155A0" w:rsidTr="00FC55FA">
        <w:tc>
          <w:tcPr>
            <w:tcW w:w="3259" w:type="dxa"/>
          </w:tcPr>
          <w:p w:rsidR="00B155A0" w:rsidRDefault="00B155A0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Quarta Sez. Penale della Corte di Cassazione, </w:t>
            </w:r>
            <w:hyperlink r:id="rId7" w:history="1">
              <w:r w:rsidRPr="009A1CC3">
                <w:rPr>
                  <w:rStyle w:val="Collegamentoipertestuale"/>
                  <w:rFonts w:ascii="Arial" w:eastAsia="Times New Roman" w:hAnsi="Arial" w:cs="Arial"/>
                  <w:sz w:val="26"/>
                  <w:szCs w:val="26"/>
                  <w:lang w:eastAsia="it-IT"/>
                </w:rPr>
                <w:t xml:space="preserve">Sent. n. </w:t>
              </w:r>
              <w:r>
                <w:rPr>
                  <w:rStyle w:val="Collegamentoipertestuale"/>
                  <w:rFonts w:ascii="Arial" w:eastAsia="Times New Roman" w:hAnsi="Arial" w:cs="Arial"/>
                  <w:sz w:val="26"/>
                  <w:szCs w:val="26"/>
                  <w:lang w:eastAsia="it-IT"/>
                </w:rPr>
                <w:t>50078</w:t>
              </w:r>
              <w:r w:rsidRPr="009A1CC3">
                <w:rPr>
                  <w:rStyle w:val="Collegamentoipertestuale"/>
                  <w:rFonts w:ascii="Arial" w:eastAsia="Times New Roman" w:hAnsi="Arial" w:cs="Arial"/>
                  <w:sz w:val="26"/>
                  <w:szCs w:val="26"/>
                  <w:lang w:eastAsia="it-IT"/>
                </w:rPr>
                <w:t xml:space="preserve"> del </w:t>
              </w:r>
              <w:r>
                <w:rPr>
                  <w:rStyle w:val="Collegamentoipertestuale"/>
                  <w:rFonts w:ascii="Arial" w:eastAsia="Times New Roman" w:hAnsi="Arial" w:cs="Arial"/>
                  <w:sz w:val="26"/>
                  <w:szCs w:val="26"/>
                  <w:lang w:eastAsia="it-IT"/>
                </w:rPr>
                <w:t>31 ottobre</w:t>
              </w:r>
              <w:r w:rsidRPr="009A1CC3">
                <w:rPr>
                  <w:rStyle w:val="Collegamentoipertestuale"/>
                  <w:rFonts w:ascii="Arial" w:eastAsia="Times New Roman" w:hAnsi="Arial" w:cs="Arial"/>
                  <w:sz w:val="26"/>
                  <w:szCs w:val="26"/>
                  <w:lang w:eastAsia="it-IT"/>
                </w:rPr>
                <w:t xml:space="preserve"> 2017</w:t>
              </w:r>
            </w:hyperlink>
          </w:p>
        </w:tc>
        <w:tc>
          <w:tcPr>
            <w:tcW w:w="6347" w:type="dxa"/>
          </w:tcPr>
          <w:p w:rsidR="00B155A0" w:rsidRDefault="00B155A0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B155A0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La 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sentenza </w:t>
            </w:r>
            <w:r w:rsidRPr="00B155A0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ha annullato la condanna di un medico per il reato di lesioni colpose gravi a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pplicando il nuovo articolo 590-</w:t>
            </w:r>
            <w:r w:rsidRPr="00B155A0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sexies del Codice penale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(introdotto dalla L. 24/2017)</w:t>
            </w:r>
            <w:r w:rsidRPr="00B155A0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, il quale prevede una causa di non punibilità dell’esercente la professione sanitaria nel caso in cui siano rispettate le linee guida o, in mancanza, </w:t>
            </w:r>
            <w:proofErr w:type="gramStart"/>
            <w:r w:rsidRPr="00B155A0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le buone pratiche clinico assistenziali</w:t>
            </w:r>
            <w:proofErr w:type="gramEnd"/>
            <w:r w:rsidRPr="00B155A0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, nel solo caso di imperizia, indipendentemente dal grado della colpa</w:t>
            </w:r>
            <w:r w:rsidR="00EC6F0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, purché l’imperizia non attenga alla scelta di linee guida non adeguate al caso concreto</w:t>
            </w:r>
            <w:r w:rsidRPr="00B155A0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.</w:t>
            </w:r>
            <w:r w:rsidR="00F83625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Si precisa in proposito che la predetta novella penale è volta a contrastare il fenomeno della cosiddetta “medicina difensiva”.</w:t>
            </w:r>
          </w:p>
        </w:tc>
      </w:tr>
      <w:tr w:rsidR="00F433B5" w:rsidTr="00F433B5">
        <w:tc>
          <w:tcPr>
            <w:tcW w:w="3259" w:type="dxa"/>
          </w:tcPr>
          <w:p w:rsidR="00F433B5" w:rsidRDefault="00F433B5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Tribunale di Milano </w:t>
            </w:r>
            <w:hyperlink r:id="rId8" w:history="1">
              <w:r w:rsidRPr="00F433B5">
                <w:rPr>
                  <w:rStyle w:val="Collegamentoipertestuale"/>
                  <w:rFonts w:ascii="Arial" w:eastAsia="Times New Roman" w:hAnsi="Arial" w:cs="Arial"/>
                  <w:sz w:val="26"/>
                  <w:szCs w:val="26"/>
                  <w:lang w:eastAsia="it-IT"/>
                </w:rPr>
                <w:t>Sent. n. 1654/2018</w:t>
              </w:r>
            </w:hyperlink>
          </w:p>
        </w:tc>
        <w:tc>
          <w:tcPr>
            <w:tcW w:w="6347" w:type="dxa"/>
          </w:tcPr>
          <w:p w:rsidR="00F433B5" w:rsidRDefault="00936473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La sentenza ha </w:t>
            </w:r>
            <w:r w:rsidR="00020BA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imposto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</w:t>
            </w:r>
            <w:r w:rsidR="00020BA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i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l risarcimento di un paziente </w:t>
            </w:r>
            <w:proofErr w:type="gramStart"/>
            <w:r w:rsidR="00020BA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ad</w:t>
            </w:r>
            <w:proofErr w:type="gramEnd"/>
            <w:r w:rsidR="00020BA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un medico odontoiatra </w:t>
            </w:r>
            <w:r w:rsidR="006237D8" w:rsidRP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libero professionista, riconoscendo</w:t>
            </w:r>
            <w:r w:rsidR="00020BA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in capo allo stesso</w:t>
            </w:r>
            <w:r w:rsidR="006237D8" w:rsidRP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</w:t>
            </w:r>
            <w:r w:rsidR="00020BA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una</w:t>
            </w:r>
            <w:r w:rsidR="006237D8" w:rsidRP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responsabilità </w:t>
            </w:r>
            <w:r w:rsidR="006237D8" w:rsidRP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lastRenderedPageBreak/>
              <w:t>professionale di natura contrattuale</w:t>
            </w:r>
            <w:r w:rsidR="00020BA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per </w:t>
            </w:r>
            <w:r w:rsidR="006237D8" w:rsidRP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condotta imprudente nella predisposizione e nel montaggio di protesi e impianti</w:t>
            </w:r>
            <w:r w:rsid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.</w:t>
            </w:r>
          </w:p>
          <w:p w:rsidR="006237D8" w:rsidRDefault="008F25CF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Si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sottolinea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che i</w:t>
            </w:r>
            <w:r w:rsid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l paziente (parte attrice) a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veva</w:t>
            </w:r>
            <w:r w:rsid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richiesto un accertamento tecnico preventivo </w:t>
            </w:r>
            <w:r w:rsidR="006237D8" w:rsidRP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(articolo 696-bis del Codice di procedura civile), </w:t>
            </w:r>
            <w:r w:rsid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che </w:t>
            </w:r>
            <w:r w:rsidR="006237D8" w:rsidRP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costituisce condizione di procedibilità della domanda risarcitoria di merito e </w:t>
            </w:r>
            <w:r w:rsid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a cui </w:t>
            </w:r>
            <w:r w:rsidR="006237D8" w:rsidRP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le parti (comprese le assicurazioni)</w:t>
            </w:r>
            <w:r w:rsid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devono </w:t>
            </w:r>
            <w:r w:rsidR="006237D8" w:rsidRP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obbligatoriamente </w:t>
            </w:r>
            <w:r w:rsid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partecipare in base </w:t>
            </w:r>
            <w:r w:rsidR="006237D8" w:rsidRP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all’articolo 8 </w:t>
            </w:r>
            <w:r w:rsidR="00020BA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(</w:t>
            </w:r>
            <w:r w:rsidR="00020BA8" w:rsidRPr="00020BA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Tentativo obbligatorio di conciliazione</w:t>
            </w:r>
            <w:r w:rsidR="00020BA8">
              <w:rPr>
                <w:rStyle w:val="provvrubrica"/>
              </w:rPr>
              <w:t xml:space="preserve">) </w:t>
            </w:r>
            <w:r w:rsidR="006237D8" w:rsidRP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della legge 24/2017</w:t>
            </w:r>
            <w:r w:rsid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, pena </w:t>
            </w:r>
            <w:r w:rsidR="006237D8" w:rsidRPr="006237D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l’obbligo di pagare spese di consulenza e di lite a prescindere dall’esito del giudizio.</w:t>
            </w:r>
          </w:p>
        </w:tc>
      </w:tr>
      <w:tr w:rsidR="00020BA8" w:rsidTr="00F433B5">
        <w:tc>
          <w:tcPr>
            <w:tcW w:w="3259" w:type="dxa"/>
          </w:tcPr>
          <w:p w:rsidR="00020BA8" w:rsidRDefault="007907AB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lastRenderedPageBreak/>
              <w:t xml:space="preserve">Cassazione, Sezione Unite penali, </w:t>
            </w:r>
            <w:hyperlink r:id="rId9" w:history="1">
              <w:r w:rsidRPr="004C1027">
                <w:rPr>
                  <w:rStyle w:val="Collegamentoipertestuale"/>
                  <w:rFonts w:ascii="Arial" w:eastAsia="Times New Roman" w:hAnsi="Arial" w:cs="Arial"/>
                  <w:sz w:val="26"/>
                  <w:szCs w:val="26"/>
                  <w:lang w:eastAsia="it-IT"/>
                </w:rPr>
                <w:t>Sent. 08770/2018</w:t>
              </w:r>
            </w:hyperlink>
          </w:p>
        </w:tc>
        <w:tc>
          <w:tcPr>
            <w:tcW w:w="6347" w:type="dxa"/>
          </w:tcPr>
          <w:p w:rsidR="00020BA8" w:rsidRDefault="003861DF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La sentenza è intervenuta sull’ambito applicativo della previsione di “non punibilità” prevista dall’art. 590-se</w:t>
            </w:r>
            <w:r w:rsidR="00B155A0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xies del codice pen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ale</w:t>
            </w:r>
            <w:r w:rsidR="00B155A0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per colpa medica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, introdotto dall’articolo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6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della L. n. 24/2017</w:t>
            </w:r>
            <w:r w:rsidR="00B155A0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, componendo il contrasto tra due diverse sentenze</w:t>
            </w:r>
            <w:r w:rsidR="005E710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(v. sopra </w:t>
            </w:r>
            <w:proofErr w:type="spellStart"/>
            <w:r w:rsidR="005E710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sentt</w:t>
            </w:r>
            <w:proofErr w:type="spellEnd"/>
            <w:r w:rsidR="005E710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. </w:t>
            </w:r>
            <w:r w:rsidR="005E7108" w:rsidRPr="005E710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n. 28187</w:t>
            </w:r>
            <w:r w:rsidR="005E710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/</w:t>
            </w:r>
            <w:r w:rsidR="005E7108" w:rsidRPr="005E710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2017</w:t>
            </w:r>
            <w:r w:rsidR="005E7108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e n. 50078/2017) </w:t>
            </w:r>
            <w:r w:rsidR="00B155A0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in materia e cercando una sintesi interpretativa della effettiva portata della norma in considerazione. </w:t>
            </w:r>
          </w:p>
          <w:p w:rsidR="00835D3A" w:rsidRPr="00835D3A" w:rsidRDefault="007B6DB8" w:rsidP="00F513EC">
            <w:pPr>
              <w:spacing w:beforeLines="20" w:afterLines="20" w:line="30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Con questa sentenza le sezioni unite individuano specificamente quattro fattispecie in cui, in sintesi, </w:t>
            </w:r>
            <w:r w:rsidR="00835D3A" w:rsidRPr="00835D3A">
              <w:rPr>
                <w:rFonts w:ascii="Arial" w:hAnsi="Arial" w:cs="Arial"/>
                <w:sz w:val="26"/>
                <w:szCs w:val="26"/>
              </w:rPr>
              <w:t>l’</w:t>
            </w:r>
            <w:proofErr w:type="gramStart"/>
            <w:r w:rsidR="00835D3A" w:rsidRPr="00835D3A">
              <w:rPr>
                <w:rFonts w:ascii="Arial" w:hAnsi="Arial" w:cs="Arial"/>
                <w:sz w:val="26"/>
                <w:szCs w:val="26"/>
              </w:rPr>
              <w:t>esercente la</w:t>
            </w:r>
            <w:proofErr w:type="gramEnd"/>
            <w:r w:rsidR="00835D3A" w:rsidRPr="00835D3A">
              <w:rPr>
                <w:rFonts w:ascii="Arial" w:hAnsi="Arial" w:cs="Arial"/>
                <w:sz w:val="26"/>
                <w:szCs w:val="26"/>
              </w:rPr>
              <w:t xml:space="preserve"> professione sanitaria è responsabile penalmente</w:t>
            </w:r>
            <w:r>
              <w:rPr>
                <w:rFonts w:ascii="Arial" w:hAnsi="Arial" w:cs="Arial"/>
                <w:sz w:val="26"/>
                <w:szCs w:val="26"/>
              </w:rPr>
              <w:t>, a titolo di colpa,</w:t>
            </w:r>
            <w:r w:rsidR="00835D3A" w:rsidRPr="00835D3A">
              <w:rPr>
                <w:rFonts w:ascii="Arial" w:hAnsi="Arial" w:cs="Arial"/>
                <w:sz w:val="26"/>
                <w:szCs w:val="26"/>
              </w:rPr>
              <w:t xml:space="preserve"> per morte o lesioni </w:t>
            </w:r>
            <w:r>
              <w:rPr>
                <w:rFonts w:ascii="Arial" w:hAnsi="Arial" w:cs="Arial"/>
                <w:sz w:val="26"/>
                <w:szCs w:val="26"/>
              </w:rPr>
              <w:t>personali derivanti dall’esercizio della sua attività medico-chirurgica</w:t>
            </w:r>
            <w:r w:rsidR="00835D3A" w:rsidRPr="00835D3A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835D3A" w:rsidRPr="00835D3A" w:rsidRDefault="00835D3A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835D3A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1) l’evento si è verificato per colpa (sia lieve </w:t>
            </w:r>
            <w:proofErr w:type="gramStart"/>
            <w:r w:rsidRPr="00835D3A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che</w:t>
            </w:r>
            <w:proofErr w:type="gramEnd"/>
            <w:r w:rsidRPr="00835D3A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grave) da negligenza o imprudenza;</w:t>
            </w:r>
          </w:p>
          <w:p w:rsidR="00835D3A" w:rsidRPr="00835D3A" w:rsidRDefault="00835D3A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835D3A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2) l’evento si è verificato per colpa (sia lieve </w:t>
            </w:r>
            <w:proofErr w:type="gramStart"/>
            <w:r w:rsidRPr="00835D3A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che</w:t>
            </w:r>
            <w:proofErr w:type="gramEnd"/>
            <w:r w:rsidRPr="00835D3A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grave) da imperizia nell’ipotesi di un caso concreto non regolato da linee guida o da buone pratiche clinico-assistenziali;</w:t>
            </w:r>
          </w:p>
          <w:p w:rsidR="00835D3A" w:rsidRPr="00835D3A" w:rsidRDefault="00835D3A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835D3A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3) l’evento si è verificato per colpa (sia lieve </w:t>
            </w:r>
            <w:proofErr w:type="gramStart"/>
            <w:r w:rsidRPr="00835D3A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che</w:t>
            </w:r>
            <w:proofErr w:type="gramEnd"/>
            <w:r w:rsidRPr="00835D3A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grave) da imperizia nella individuazione di linee guida o di buone pratiche clinico-assistenziali non adeguate allo specifico caso concreto;</w:t>
            </w:r>
          </w:p>
          <w:p w:rsidR="00835D3A" w:rsidRDefault="00835D3A" w:rsidP="00F513EC">
            <w:pPr>
              <w:spacing w:beforeLines="20" w:afterLines="20" w:line="3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835D3A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4) l’evento si è verificato per colpa grave da imperizia nell’esecuzione di linee guida o buone pratiche clinico-assistenziali adeguate, tenendo conto del grado di rischio da gestire e delle speciali difficoltà dell’atto medico.</w:t>
            </w:r>
          </w:p>
        </w:tc>
      </w:tr>
    </w:tbl>
    <w:p w:rsidR="000B6E1F" w:rsidRDefault="000B6E1F" w:rsidP="00F513EC">
      <w:pPr>
        <w:spacing w:beforeLines="20" w:afterLines="20" w:line="300" w:lineRule="atLeast"/>
        <w:ind w:firstLine="284"/>
        <w:jc w:val="both"/>
        <w:rPr>
          <w:rFonts w:ascii="Arial" w:eastAsia="Times New Roman" w:hAnsi="Arial" w:cs="Arial"/>
          <w:sz w:val="26"/>
          <w:szCs w:val="26"/>
          <w:lang w:eastAsia="it-IT"/>
        </w:rPr>
      </w:pPr>
    </w:p>
    <w:p w:rsidR="007B6DB8" w:rsidRDefault="007B6DB8" w:rsidP="00F513EC">
      <w:pPr>
        <w:spacing w:beforeLines="20" w:afterLines="20" w:line="300" w:lineRule="atLeast"/>
        <w:ind w:firstLine="284"/>
        <w:jc w:val="both"/>
        <w:rPr>
          <w:rFonts w:ascii="Arial" w:eastAsia="Times New Roman" w:hAnsi="Arial" w:cs="Arial"/>
          <w:sz w:val="26"/>
          <w:szCs w:val="26"/>
          <w:lang w:eastAsia="it-IT"/>
        </w:rPr>
      </w:pPr>
    </w:p>
    <w:p w:rsidR="007B6DB8" w:rsidRDefault="007B6DB8" w:rsidP="00F513EC">
      <w:pPr>
        <w:spacing w:beforeLines="20" w:afterLines="20" w:line="300" w:lineRule="atLeast"/>
        <w:ind w:firstLine="284"/>
        <w:jc w:val="both"/>
        <w:rPr>
          <w:rFonts w:ascii="Arial" w:eastAsia="Times New Roman" w:hAnsi="Arial" w:cs="Arial"/>
          <w:sz w:val="26"/>
          <w:szCs w:val="26"/>
          <w:lang w:eastAsia="it-IT"/>
        </w:rPr>
      </w:pPr>
    </w:p>
    <w:p w:rsidR="007B6DB8" w:rsidRPr="00AE4340" w:rsidRDefault="007B6DB8" w:rsidP="00F513EC">
      <w:pPr>
        <w:spacing w:beforeLines="20" w:afterLines="20" w:line="300" w:lineRule="atLeast"/>
        <w:ind w:firstLine="284"/>
        <w:jc w:val="both"/>
        <w:rPr>
          <w:rFonts w:ascii="Arial" w:eastAsia="Times New Roman" w:hAnsi="Arial" w:cs="Arial"/>
          <w:sz w:val="26"/>
          <w:szCs w:val="26"/>
          <w:lang w:eastAsia="it-IT"/>
        </w:rPr>
      </w:pPr>
    </w:p>
    <w:p w:rsidR="00B54570" w:rsidRPr="00B11851" w:rsidRDefault="00B54570" w:rsidP="00F513EC">
      <w:pPr>
        <w:spacing w:beforeLines="20" w:afterLines="20" w:line="300" w:lineRule="atLeast"/>
        <w:ind w:firstLine="284"/>
        <w:jc w:val="both"/>
        <w:rPr>
          <w:rFonts w:ascii="Arial" w:hAnsi="Arial" w:cs="Arial"/>
          <w:bCs/>
          <w:sz w:val="26"/>
          <w:szCs w:val="26"/>
        </w:rPr>
      </w:pPr>
    </w:p>
    <w:p w:rsidR="00B54570" w:rsidRPr="00B11851" w:rsidRDefault="00B11851" w:rsidP="00F513EC">
      <w:pPr>
        <w:spacing w:beforeLines="20" w:afterLines="20" w:line="300" w:lineRule="atLeast"/>
        <w:ind w:firstLine="284"/>
        <w:jc w:val="both"/>
        <w:rPr>
          <w:rFonts w:ascii="Arial" w:hAnsi="Arial" w:cs="Arial"/>
          <w:bCs/>
          <w:sz w:val="26"/>
          <w:szCs w:val="26"/>
        </w:rPr>
      </w:pPr>
      <w:r w:rsidRPr="00B11851">
        <w:rPr>
          <w:rFonts w:ascii="Arial" w:hAnsi="Arial" w:cs="Arial"/>
          <w:bCs/>
          <w:sz w:val="26"/>
          <w:szCs w:val="26"/>
        </w:rPr>
        <w:t>Si vedano inoltre i seguenti articoli di dottrina:</w:t>
      </w:r>
    </w:p>
    <w:p w:rsidR="00B11851" w:rsidRPr="00B11851" w:rsidRDefault="00B11851" w:rsidP="00F513EC">
      <w:pPr>
        <w:spacing w:beforeLines="20" w:afterLines="20" w:line="300" w:lineRule="atLeast"/>
        <w:ind w:firstLine="284"/>
        <w:jc w:val="both"/>
        <w:rPr>
          <w:rFonts w:ascii="Arial" w:hAnsi="Arial" w:cs="Arial"/>
          <w:b/>
          <w:bCs/>
          <w:sz w:val="26"/>
          <w:szCs w:val="26"/>
        </w:rPr>
      </w:pPr>
    </w:p>
    <w:p w:rsidR="007907AB" w:rsidRPr="007907AB" w:rsidRDefault="007B7873" w:rsidP="00F513EC">
      <w:pPr>
        <w:spacing w:beforeLines="20" w:afterLines="20" w:line="300" w:lineRule="atLeast"/>
        <w:ind w:firstLine="284"/>
        <w:jc w:val="both"/>
        <w:rPr>
          <w:rFonts w:ascii="Arial" w:hAnsi="Arial" w:cs="Arial"/>
          <w:bCs/>
          <w:sz w:val="26"/>
          <w:szCs w:val="26"/>
        </w:rPr>
      </w:pPr>
      <w:hyperlink r:id="rId10" w:history="1">
        <w:proofErr w:type="gramStart"/>
        <w:r w:rsidR="007907AB" w:rsidRPr="007907AB">
          <w:rPr>
            <w:rStyle w:val="Collegamentoipertestuale"/>
            <w:rFonts w:ascii="Arial" w:hAnsi="Arial" w:cs="Arial"/>
            <w:b/>
            <w:bCs/>
            <w:sz w:val="26"/>
            <w:szCs w:val="26"/>
          </w:rPr>
          <w:t>Patrizio Gattari (Presidente di sezione del Tribunale di Milano) – Questione Giustizia – Prime riflessioni sulla riforma della responsabilit</w:t>
        </w:r>
        <w:proofErr w:type="gramEnd"/>
        <w:r w:rsidR="007907AB" w:rsidRPr="007907AB">
          <w:rPr>
            <w:rStyle w:val="Collegamentoipertestuale"/>
            <w:rFonts w:ascii="Arial" w:hAnsi="Arial" w:cs="Arial"/>
            <w:b/>
            <w:bCs/>
            <w:sz w:val="26"/>
            <w:szCs w:val="26"/>
          </w:rPr>
          <w:t>à civile da attività sanitaria</w:t>
        </w:r>
      </w:hyperlink>
      <w:r w:rsidR="007907AB">
        <w:rPr>
          <w:rFonts w:ascii="Arial" w:hAnsi="Arial" w:cs="Arial"/>
          <w:b/>
          <w:bCs/>
          <w:sz w:val="26"/>
          <w:szCs w:val="26"/>
        </w:rPr>
        <w:t xml:space="preserve"> </w:t>
      </w:r>
      <w:r w:rsidR="007907AB">
        <w:rPr>
          <w:rFonts w:ascii="Arial" w:hAnsi="Arial" w:cs="Arial"/>
          <w:bCs/>
          <w:sz w:val="26"/>
          <w:szCs w:val="26"/>
        </w:rPr>
        <w:t>(maggio 2017)</w:t>
      </w:r>
    </w:p>
    <w:p w:rsidR="007907AB" w:rsidRDefault="007907AB" w:rsidP="00F513EC">
      <w:pPr>
        <w:spacing w:beforeLines="20" w:afterLines="20" w:line="300" w:lineRule="atLeast"/>
        <w:ind w:firstLine="284"/>
        <w:jc w:val="both"/>
        <w:rPr>
          <w:rFonts w:ascii="Arial" w:hAnsi="Arial" w:cs="Arial"/>
          <w:b/>
          <w:bCs/>
          <w:sz w:val="26"/>
          <w:szCs w:val="26"/>
        </w:rPr>
      </w:pPr>
    </w:p>
    <w:p w:rsidR="007907AB" w:rsidRDefault="007B7873" w:rsidP="00F513EC">
      <w:pPr>
        <w:spacing w:beforeLines="20" w:afterLines="20" w:line="300" w:lineRule="atLeast"/>
        <w:ind w:firstLine="284"/>
        <w:jc w:val="both"/>
        <w:rPr>
          <w:rFonts w:ascii="Arial" w:hAnsi="Arial" w:cs="Arial"/>
          <w:b/>
          <w:bCs/>
          <w:sz w:val="26"/>
          <w:szCs w:val="26"/>
        </w:rPr>
      </w:pPr>
      <w:hyperlink r:id="rId11" w:history="1">
        <w:r w:rsidR="007907AB" w:rsidRPr="007907AB">
          <w:rPr>
            <w:rStyle w:val="Collegamentoipertestuale"/>
            <w:rFonts w:ascii="Arial" w:hAnsi="Arial" w:cs="Arial"/>
            <w:b/>
            <w:bCs/>
            <w:sz w:val="26"/>
            <w:szCs w:val="26"/>
          </w:rPr>
          <w:t xml:space="preserve">Gianfranco </w:t>
        </w:r>
        <w:proofErr w:type="spellStart"/>
        <w:r w:rsidR="007907AB" w:rsidRPr="007907AB">
          <w:rPr>
            <w:rStyle w:val="Collegamentoipertestuale"/>
            <w:rFonts w:ascii="Arial" w:hAnsi="Arial" w:cs="Arial"/>
            <w:b/>
            <w:bCs/>
            <w:sz w:val="26"/>
            <w:szCs w:val="26"/>
          </w:rPr>
          <w:t>Iadecola</w:t>
        </w:r>
        <w:proofErr w:type="spellEnd"/>
        <w:r w:rsidR="007907AB" w:rsidRPr="007907AB">
          <w:rPr>
            <w:rStyle w:val="Collegamentoipertestuale"/>
            <w:rFonts w:ascii="Arial" w:hAnsi="Arial" w:cs="Arial"/>
            <w:b/>
            <w:bCs/>
            <w:sz w:val="26"/>
            <w:szCs w:val="26"/>
          </w:rPr>
          <w:t xml:space="preserve"> </w:t>
        </w:r>
        <w:r w:rsidR="007907AB">
          <w:rPr>
            <w:rStyle w:val="Collegamentoipertestuale"/>
            <w:rFonts w:ascii="Arial" w:hAnsi="Arial" w:cs="Arial"/>
            <w:b/>
            <w:bCs/>
            <w:sz w:val="26"/>
            <w:szCs w:val="26"/>
          </w:rPr>
          <w:t xml:space="preserve">- </w:t>
        </w:r>
        <w:r w:rsidR="007907AB" w:rsidRPr="007907AB">
          <w:rPr>
            <w:rStyle w:val="Collegamentoipertestuale"/>
            <w:rFonts w:ascii="Arial" w:hAnsi="Arial" w:cs="Arial"/>
            <w:b/>
            <w:bCs/>
            <w:sz w:val="26"/>
            <w:szCs w:val="26"/>
          </w:rPr>
          <w:t>(Sanità24-IlSole24Ore) – Responsabilità professionale, una legge in controluce</w:t>
        </w:r>
      </w:hyperlink>
      <w:r w:rsidR="007907AB">
        <w:rPr>
          <w:rFonts w:ascii="Arial" w:hAnsi="Arial" w:cs="Arial"/>
          <w:b/>
          <w:bCs/>
          <w:sz w:val="26"/>
          <w:szCs w:val="26"/>
        </w:rPr>
        <w:t xml:space="preserve"> </w:t>
      </w:r>
      <w:r w:rsidR="007907AB" w:rsidRPr="007907AB">
        <w:rPr>
          <w:rFonts w:ascii="Arial" w:hAnsi="Arial" w:cs="Arial"/>
          <w:bCs/>
          <w:sz w:val="26"/>
          <w:szCs w:val="26"/>
        </w:rPr>
        <w:t>(maggio 2017)</w:t>
      </w:r>
    </w:p>
    <w:p w:rsidR="007907AB" w:rsidRDefault="007907AB" w:rsidP="00F513EC">
      <w:pPr>
        <w:spacing w:beforeLines="20" w:afterLines="20" w:line="300" w:lineRule="atLeast"/>
        <w:ind w:firstLine="284"/>
        <w:jc w:val="both"/>
        <w:rPr>
          <w:rFonts w:ascii="Arial" w:hAnsi="Arial" w:cs="Arial"/>
          <w:b/>
          <w:bCs/>
          <w:sz w:val="26"/>
          <w:szCs w:val="26"/>
        </w:rPr>
      </w:pPr>
    </w:p>
    <w:p w:rsidR="00B11851" w:rsidRPr="00B11851" w:rsidRDefault="007B7873" w:rsidP="00F513EC">
      <w:pPr>
        <w:spacing w:beforeLines="20" w:afterLines="20" w:line="300" w:lineRule="atLeast"/>
        <w:ind w:firstLine="284"/>
        <w:jc w:val="both"/>
        <w:rPr>
          <w:rFonts w:ascii="Arial" w:hAnsi="Arial" w:cs="Arial"/>
          <w:bCs/>
          <w:sz w:val="26"/>
          <w:szCs w:val="26"/>
        </w:rPr>
      </w:pPr>
      <w:hyperlink r:id="rId12" w:history="1">
        <w:r w:rsidR="00B11851" w:rsidRPr="00B11851">
          <w:rPr>
            <w:rStyle w:val="Collegamentoipertestuale"/>
            <w:rFonts w:ascii="Arial" w:hAnsi="Arial" w:cs="Arial"/>
            <w:b/>
            <w:bCs/>
            <w:sz w:val="26"/>
            <w:szCs w:val="26"/>
          </w:rPr>
          <w:t xml:space="preserve">Paolo Iannone - Riforma </w:t>
        </w:r>
        <w:proofErr w:type="spellStart"/>
        <w:r w:rsidR="00B11851" w:rsidRPr="00B11851">
          <w:rPr>
            <w:rStyle w:val="Collegamentoipertestuale"/>
            <w:rFonts w:ascii="Arial" w:hAnsi="Arial" w:cs="Arial"/>
            <w:b/>
            <w:bCs/>
            <w:sz w:val="26"/>
            <w:szCs w:val="26"/>
          </w:rPr>
          <w:t>Gelli-Bianco</w:t>
        </w:r>
        <w:proofErr w:type="spellEnd"/>
        <w:r w:rsidR="00B11851" w:rsidRPr="00B11851">
          <w:rPr>
            <w:rStyle w:val="Collegamentoipertestuale"/>
            <w:rFonts w:ascii="Arial" w:hAnsi="Arial" w:cs="Arial"/>
            <w:b/>
            <w:bCs/>
            <w:sz w:val="26"/>
            <w:szCs w:val="26"/>
          </w:rPr>
          <w:t>: prime applicazioni e pronunce</w:t>
        </w:r>
      </w:hyperlink>
      <w:r w:rsidR="00B11851" w:rsidRPr="00B11851">
        <w:rPr>
          <w:rFonts w:ascii="Arial" w:hAnsi="Arial" w:cs="Arial"/>
          <w:bCs/>
          <w:sz w:val="26"/>
          <w:szCs w:val="26"/>
        </w:rPr>
        <w:t xml:space="preserve"> giurisprudenziali (ottobre 2017</w:t>
      </w:r>
      <w:proofErr w:type="gramStart"/>
      <w:r w:rsidR="00B11851" w:rsidRPr="00B11851">
        <w:rPr>
          <w:rFonts w:ascii="Arial" w:hAnsi="Arial" w:cs="Arial"/>
          <w:bCs/>
          <w:sz w:val="26"/>
          <w:szCs w:val="26"/>
        </w:rPr>
        <w:t>)</w:t>
      </w:r>
      <w:proofErr w:type="gramEnd"/>
    </w:p>
    <w:p w:rsidR="00B11851" w:rsidRPr="00B11851" w:rsidRDefault="00B11851" w:rsidP="00F513EC">
      <w:pPr>
        <w:spacing w:beforeLines="20" w:afterLines="20" w:line="300" w:lineRule="atLeast"/>
        <w:ind w:firstLine="284"/>
        <w:jc w:val="both"/>
        <w:rPr>
          <w:rFonts w:ascii="Arial" w:hAnsi="Arial" w:cs="Arial"/>
          <w:b/>
          <w:bCs/>
          <w:sz w:val="26"/>
          <w:szCs w:val="26"/>
        </w:rPr>
      </w:pPr>
    </w:p>
    <w:p w:rsidR="00B11851" w:rsidRPr="00B11851" w:rsidRDefault="007B7873" w:rsidP="00F513EC">
      <w:pPr>
        <w:spacing w:beforeLines="20" w:afterLines="20" w:line="300" w:lineRule="atLeast"/>
        <w:ind w:firstLine="284"/>
        <w:jc w:val="both"/>
        <w:rPr>
          <w:rFonts w:ascii="Arial" w:hAnsi="Arial" w:cs="Arial"/>
          <w:bCs/>
          <w:sz w:val="26"/>
          <w:szCs w:val="26"/>
        </w:rPr>
      </w:pPr>
      <w:hyperlink r:id="rId13" w:history="1">
        <w:r w:rsidR="00B11851" w:rsidRPr="00B11851">
          <w:rPr>
            <w:rStyle w:val="Collegamentoipertestuale"/>
            <w:rFonts w:ascii="Arial" w:hAnsi="Arial" w:cs="Arial"/>
            <w:b/>
            <w:bCs/>
            <w:sz w:val="26"/>
            <w:szCs w:val="26"/>
          </w:rPr>
          <w:t>Cristiano Cupelli – Cronaca di un contrasto annunciato: la legge Gelli-Bianco alle Sezioni Unite</w:t>
        </w:r>
      </w:hyperlink>
      <w:r w:rsidR="00B11851">
        <w:rPr>
          <w:rFonts w:ascii="Arial" w:hAnsi="Arial" w:cs="Arial"/>
          <w:b/>
          <w:bCs/>
          <w:sz w:val="26"/>
          <w:szCs w:val="26"/>
        </w:rPr>
        <w:t xml:space="preserve"> </w:t>
      </w:r>
      <w:r w:rsidR="00B11851" w:rsidRPr="00B11851">
        <w:rPr>
          <w:rFonts w:ascii="Arial" w:hAnsi="Arial" w:cs="Arial"/>
          <w:bCs/>
          <w:sz w:val="26"/>
          <w:szCs w:val="26"/>
        </w:rPr>
        <w:t>(novembre 2017)</w:t>
      </w:r>
    </w:p>
    <w:p w:rsidR="00B71AC9" w:rsidRPr="00AE4340" w:rsidRDefault="00B71AC9" w:rsidP="00F513EC">
      <w:pPr>
        <w:spacing w:beforeLines="20" w:afterLines="20" w:line="300" w:lineRule="atLeast"/>
        <w:ind w:firstLine="284"/>
        <w:jc w:val="both"/>
        <w:rPr>
          <w:rFonts w:ascii="Arial" w:hAnsi="Arial" w:cs="Arial"/>
          <w:sz w:val="26"/>
          <w:szCs w:val="26"/>
        </w:rPr>
      </w:pPr>
    </w:p>
    <w:p w:rsidR="005E3379" w:rsidRDefault="005E3379" w:rsidP="00F513EC">
      <w:pPr>
        <w:pStyle w:val="NormaleWeb"/>
        <w:tabs>
          <w:tab w:val="left" w:pos="3969"/>
        </w:tabs>
        <w:spacing w:beforeLines="20" w:beforeAutospacing="0" w:afterLines="20" w:afterAutospacing="0" w:line="300" w:lineRule="atLeast"/>
        <w:ind w:firstLine="284"/>
        <w:jc w:val="both"/>
        <w:rPr>
          <w:rFonts w:ascii="Arial" w:hAnsi="Arial" w:cs="Arial"/>
          <w:sz w:val="26"/>
          <w:szCs w:val="26"/>
        </w:rPr>
      </w:pPr>
      <w:r w:rsidRPr="00AE4340">
        <w:rPr>
          <w:rFonts w:ascii="Arial" w:hAnsi="Arial" w:cs="Arial"/>
          <w:sz w:val="26"/>
          <w:szCs w:val="26"/>
        </w:rPr>
        <w:t> </w:t>
      </w:r>
    </w:p>
    <w:p w:rsidR="005E3379" w:rsidRPr="00AE4340" w:rsidRDefault="005E3379" w:rsidP="007B7873">
      <w:pPr>
        <w:pStyle w:val="Titolo2"/>
        <w:spacing w:beforeLines="20" w:afterLines="20" w:line="300" w:lineRule="atLeast"/>
        <w:ind w:firstLine="284"/>
        <w:jc w:val="both"/>
        <w:rPr>
          <w:rFonts w:ascii="Arial" w:hAnsi="Arial" w:cs="Arial"/>
        </w:rPr>
      </w:pPr>
      <w:bookmarkStart w:id="0" w:name="_GoBack"/>
      <w:bookmarkEnd w:id="0"/>
    </w:p>
    <w:sectPr w:rsidR="005E3379" w:rsidRPr="00AE4340" w:rsidSect="007B7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3589"/>
    <w:multiLevelType w:val="hybridMultilevel"/>
    <w:tmpl w:val="FED02264"/>
    <w:lvl w:ilvl="0" w:tplc="8A3807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71AC9"/>
    <w:rsid w:val="00020BA8"/>
    <w:rsid w:val="000B6E1F"/>
    <w:rsid w:val="000F5BA5"/>
    <w:rsid w:val="00104CA7"/>
    <w:rsid w:val="001F5582"/>
    <w:rsid w:val="00261EF9"/>
    <w:rsid w:val="002A26C4"/>
    <w:rsid w:val="002A576B"/>
    <w:rsid w:val="00303EAE"/>
    <w:rsid w:val="0032581D"/>
    <w:rsid w:val="003861DF"/>
    <w:rsid w:val="00421CA8"/>
    <w:rsid w:val="00461ECF"/>
    <w:rsid w:val="004C1027"/>
    <w:rsid w:val="004C3DFB"/>
    <w:rsid w:val="005406B8"/>
    <w:rsid w:val="005E3379"/>
    <w:rsid w:val="005E7108"/>
    <w:rsid w:val="005F2AC7"/>
    <w:rsid w:val="006237D8"/>
    <w:rsid w:val="00624CF6"/>
    <w:rsid w:val="00662055"/>
    <w:rsid w:val="007907AB"/>
    <w:rsid w:val="007B6DB8"/>
    <w:rsid w:val="007B7873"/>
    <w:rsid w:val="00830A21"/>
    <w:rsid w:val="00835D3A"/>
    <w:rsid w:val="00845854"/>
    <w:rsid w:val="008D3518"/>
    <w:rsid w:val="008F25CF"/>
    <w:rsid w:val="0091303B"/>
    <w:rsid w:val="00926FF8"/>
    <w:rsid w:val="00936473"/>
    <w:rsid w:val="009412BE"/>
    <w:rsid w:val="009A128B"/>
    <w:rsid w:val="009A1CC3"/>
    <w:rsid w:val="00A050EB"/>
    <w:rsid w:val="00A64F2D"/>
    <w:rsid w:val="00AE4340"/>
    <w:rsid w:val="00AF3D78"/>
    <w:rsid w:val="00B11851"/>
    <w:rsid w:val="00B155A0"/>
    <w:rsid w:val="00B24A9D"/>
    <w:rsid w:val="00B54570"/>
    <w:rsid w:val="00B71AC9"/>
    <w:rsid w:val="00DB7604"/>
    <w:rsid w:val="00DC3112"/>
    <w:rsid w:val="00DD41CF"/>
    <w:rsid w:val="00E76118"/>
    <w:rsid w:val="00EC6F08"/>
    <w:rsid w:val="00F433B5"/>
    <w:rsid w:val="00F513EC"/>
    <w:rsid w:val="00F83625"/>
    <w:rsid w:val="00FB4B86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873"/>
  </w:style>
  <w:style w:type="paragraph" w:styleId="Titolo1">
    <w:name w:val="heading 1"/>
    <w:basedOn w:val="Normale"/>
    <w:link w:val="Titolo1Carattere"/>
    <w:uiPriority w:val="9"/>
    <w:qFormat/>
    <w:rsid w:val="005E3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3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F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760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337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ottotitolo">
    <w:name w:val="sottotitolo"/>
    <w:basedOn w:val="Normale"/>
    <w:rsid w:val="005E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3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5E3379"/>
    <w:rPr>
      <w:b/>
      <w:bCs/>
    </w:rPr>
  </w:style>
  <w:style w:type="paragraph" w:styleId="NormaleWeb">
    <w:name w:val="Normal (Web)"/>
    <w:basedOn w:val="Normale"/>
    <w:uiPriority w:val="99"/>
    <w:unhideWhenUsed/>
    <w:rsid w:val="005E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3EAE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F4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vvrubrica">
    <w:name w:val="provv_rubrica"/>
    <w:basedOn w:val="Carpredefinitoparagrafo"/>
    <w:rsid w:val="00020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E3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3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F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760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337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ottotitolo">
    <w:name w:val="sottotitolo"/>
    <w:basedOn w:val="Normale"/>
    <w:rsid w:val="005E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3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5E3379"/>
    <w:rPr>
      <w:b/>
      <w:bCs/>
    </w:rPr>
  </w:style>
  <w:style w:type="paragraph" w:styleId="NormaleWeb">
    <w:name w:val="Normal (Web)"/>
    <w:basedOn w:val="Normale"/>
    <w:uiPriority w:val="99"/>
    <w:unhideWhenUsed/>
    <w:rsid w:val="005E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3EAE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F4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vvrubrica">
    <w:name w:val="provv_rubrica"/>
    <w:basedOn w:val="Carpredefinitoparagrafo"/>
    <w:rsid w:val="00020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era.it/temiap/2018/03/19/OCD177-3492.pdf" TargetMode="External"/><Relationship Id="rId13" Type="http://schemas.openxmlformats.org/officeDocument/2006/relationships/hyperlink" Target="https://www.penalecontemporaneo.it/d/5726-cronaca-di-un-contrasto-annunciato-la-legge-gelli-bianco-alle-sezioni-un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era.it/temiap/2018/07/17/OCD177-3648.pdf" TargetMode="External"/><Relationship Id="rId12" Type="http://schemas.openxmlformats.org/officeDocument/2006/relationships/hyperlink" Target="http://www.altalex.com/documents/news/2017/10/20/riforma-gelli-bianco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neldiritto.it/appgiurisprudenza.asp?id=14958" TargetMode="External"/><Relationship Id="rId11" Type="http://schemas.openxmlformats.org/officeDocument/2006/relationships/hyperlink" Target="http://www.sanita24.ilsole24ore.com/art/lavoro-e-professione/2017-05-09/responsabilita-professionale-legge-controluce-140308.php?uuid=AENHc6IB&amp;refresh_ce=1" TargetMode="External"/><Relationship Id="rId5" Type="http://schemas.openxmlformats.org/officeDocument/2006/relationships/hyperlink" Target="http://www.italgiure.giustizia.it/xway/application/nif/clean/hc.dll?verbo=attach&amp;db=snpen&amp;id=./20170331/snpen@s40@a2017@n16140@tS.clean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questionegiustizia.it/stampa.php?id=1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lgiure.giustizia.it/xway/application/nif/clean/hc.dll?verbo=attach&amp;db=snpen&amp;id=./20180222/snpen@sU0@a2018@n08770@tS.clea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Provenzano Vincentini</dc:creator>
  <cp:lastModifiedBy>Fabrizio</cp:lastModifiedBy>
  <cp:revision>2</cp:revision>
  <dcterms:created xsi:type="dcterms:W3CDTF">2018-07-31T13:41:00Z</dcterms:created>
  <dcterms:modified xsi:type="dcterms:W3CDTF">2018-07-31T13:41:00Z</dcterms:modified>
</cp:coreProperties>
</file>